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0"/>
        <w:rPr/>
      </w:pPr>
      <w:r w:rsidDel="00000000" w:rsidR="00000000" w:rsidRPr="00000000">
        <w:rPr>
          <w:rtl w:val="0"/>
        </w:rPr>
        <w:t xml:space="preserve">FAIR Process Framework </w:t>
        <w:br w:type="textWrapping"/>
        <w:t xml:space="preserve">– Workbook 1</w:t>
      </w:r>
    </w:p>
    <w:p w:rsidR="00000000" w:rsidDel="00000000" w:rsidP="00000000" w:rsidRDefault="00000000" w:rsidRPr="00000000" w14:paraId="00000002">
      <w:pPr>
        <w:pStyle w:val="Heading1"/>
        <w:ind w:firstLine="0"/>
        <w:rPr/>
      </w:pPr>
      <w:r w:rsidDel="00000000" w:rsidR="00000000" w:rsidRPr="00000000">
        <w:rPr>
          <w:rtl w:val="0"/>
        </w:rPr>
        <w:t xml:space="preserve">Step 1 — Discovery: </w:t>
        <w:br w:type="textWrapping"/>
        <w:t xml:space="preserve">Defining data intervention types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The FAIR Process Framework provides a series of bite-sized activities to take project leaders, and their partners, from concept, through planning and strategy and into implementation of a customized FAIR and responsible data plan.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There are six steps: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1: Discovery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2: Understanding</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3: Planning</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4: Co-developing</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5: Strategy</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and Step 6: Implementing.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This workbook has been designed to assist you in defining your data problem and, your intention, and then specifying the data intervention types. You will then identify your data blockers and levers before putting it all together.</w:t>
      </w:r>
    </w:p>
    <w:p w:rsidR="00000000" w:rsidDel="00000000" w:rsidP="00000000" w:rsidRDefault="00000000" w:rsidRPr="00000000" w14:paraId="0000000D">
      <w:pPr>
        <w:spacing w:after="0" w:lineRule="auto"/>
        <w:ind w:left="360"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ind w:firstLine="0"/>
        <w:rPr/>
      </w:pPr>
      <w:r w:rsidDel="00000000" w:rsidR="00000000" w:rsidRPr="00000000">
        <w:rPr>
          <w:rtl w:val="0"/>
        </w:rPr>
        <w:t xml:space="preserve">1. Problem statement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2f5596"/>
          <w:sz w:val="24"/>
          <w:szCs w:val="24"/>
          <w:u w:val="none"/>
          <w:shd w:fill="auto" w:val="clear"/>
          <w:vertAlign w:val="baseline"/>
        </w:rPr>
      </w:pPr>
      <w:r w:rsidDel="00000000" w:rsidR="00000000" w:rsidRPr="00000000">
        <w:rPr>
          <w:rFonts w:ascii="Calibri" w:cs="Calibri" w:eastAsia="Calibri" w:hAnsi="Calibri"/>
          <w:b w:val="1"/>
          <w:i w:val="0"/>
          <w:smallCaps w:val="0"/>
          <w:strike w:val="0"/>
          <w:color w:val="2f5596"/>
          <w:sz w:val="24"/>
          <w:szCs w:val="24"/>
          <w:u w:val="none"/>
          <w:shd w:fill="auto" w:val="clear"/>
          <w:vertAlign w:val="baseline"/>
          <w:rtl w:val="0"/>
        </w:rPr>
        <w:t xml:space="preserve">Data </w:t>
      </w:r>
      <w:r w:rsidDel="00000000" w:rsidR="00000000" w:rsidRPr="00000000">
        <w:rPr>
          <w:b w:val="1"/>
          <w:color w:val="2f5596"/>
          <w:sz w:val="24"/>
          <w:szCs w:val="24"/>
          <w:rtl w:val="0"/>
        </w:rPr>
        <w:t xml:space="preserve">p</w:t>
      </w:r>
      <w:r w:rsidDel="00000000" w:rsidR="00000000" w:rsidRPr="00000000">
        <w:rPr>
          <w:rFonts w:ascii="Calibri" w:cs="Calibri" w:eastAsia="Calibri" w:hAnsi="Calibri"/>
          <w:b w:val="1"/>
          <w:i w:val="0"/>
          <w:smallCaps w:val="0"/>
          <w:strike w:val="0"/>
          <w:color w:val="2f5596"/>
          <w:sz w:val="24"/>
          <w:szCs w:val="24"/>
          <w:u w:val="none"/>
          <w:shd w:fill="auto" w:val="clear"/>
          <w:vertAlign w:val="baseline"/>
          <w:rtl w:val="0"/>
        </w:rPr>
        <w:t xml:space="preserve">roblem </w:t>
      </w:r>
      <w:r w:rsidDel="00000000" w:rsidR="00000000" w:rsidRPr="00000000">
        <w:rPr>
          <w:b w:val="1"/>
          <w:color w:val="2f5596"/>
          <w:sz w:val="24"/>
          <w:szCs w:val="24"/>
          <w:rtl w:val="0"/>
        </w:rPr>
        <w:t xml:space="preserve">s</w:t>
      </w:r>
      <w:r w:rsidDel="00000000" w:rsidR="00000000" w:rsidRPr="00000000">
        <w:rPr>
          <w:rFonts w:ascii="Calibri" w:cs="Calibri" w:eastAsia="Calibri" w:hAnsi="Calibri"/>
          <w:b w:val="1"/>
          <w:i w:val="0"/>
          <w:smallCaps w:val="0"/>
          <w:strike w:val="0"/>
          <w:color w:val="2f5596"/>
          <w:sz w:val="24"/>
          <w:szCs w:val="24"/>
          <w:u w:val="none"/>
          <w:shd w:fill="auto" w:val="clear"/>
          <w:vertAlign w:val="baseline"/>
          <w:rtl w:val="0"/>
        </w:rPr>
        <w:t xml:space="preserve">tatement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What data problem is the investment trying to solve?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Tell the story about how you got to this data problem.</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How would the beneficiary describe the data problem?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What evidence is there that this is an actual data problem?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Write your investment’s </w:t>
      </w:r>
      <w:r w:rsidDel="00000000" w:rsidR="00000000" w:rsidRPr="00000000">
        <w:rPr>
          <w:b w:val="1"/>
          <w:sz w:val="24"/>
          <w:szCs w:val="24"/>
          <w:rtl w:val="0"/>
        </w:rPr>
        <w:t xml:space="preserve">d</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ata </w:t>
      </w:r>
      <w:r w:rsidDel="00000000" w:rsidR="00000000" w:rsidRPr="00000000">
        <w:rPr>
          <w:b w:val="1"/>
          <w:sz w:val="24"/>
          <w:szCs w:val="24"/>
          <w:rtl w:val="0"/>
        </w:rPr>
        <w:t xml:space="preserve">p</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roblem </w:t>
      </w:r>
      <w:r w:rsidDel="00000000" w:rsidR="00000000" w:rsidRPr="00000000">
        <w:rPr>
          <w:b w:val="1"/>
          <w:sz w:val="24"/>
          <w:szCs w:val="24"/>
          <w:rtl w:val="0"/>
        </w:rPr>
        <w:t xml:space="preserve">s</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tatement below:</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tl w:val="0"/>
        </w:rPr>
      </w:r>
    </w:p>
    <w:tbl>
      <w:tblPr>
        <w:tblStyle w:val="Table1"/>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tc>
      </w:tr>
    </w:tbl>
    <w:p w:rsidR="00000000" w:rsidDel="00000000" w:rsidP="00000000" w:rsidRDefault="00000000" w:rsidRPr="00000000" w14:paraId="0000001F">
      <w:pPr>
        <w:spacing w:after="0" w:lineRule="auto"/>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2"/>
        <w:ind w:firstLine="0"/>
        <w:rPr/>
      </w:pPr>
      <w:r w:rsidDel="00000000" w:rsidR="00000000" w:rsidRPr="00000000">
        <w:rPr>
          <w:rtl w:val="0"/>
        </w:rPr>
        <w:t xml:space="preserve">2. Intention statement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2f5596"/>
          <w:sz w:val="24"/>
          <w:szCs w:val="24"/>
          <w:u w:val="none"/>
          <w:shd w:fill="auto" w:val="clear"/>
          <w:vertAlign w:val="baseline"/>
        </w:rPr>
      </w:pPr>
      <w:r w:rsidDel="00000000" w:rsidR="00000000" w:rsidRPr="00000000">
        <w:rPr>
          <w:rFonts w:ascii="Calibri" w:cs="Calibri" w:eastAsia="Calibri" w:hAnsi="Calibri"/>
          <w:b w:val="1"/>
          <w:i w:val="0"/>
          <w:smallCaps w:val="0"/>
          <w:strike w:val="0"/>
          <w:color w:val="2f5596"/>
          <w:sz w:val="24"/>
          <w:szCs w:val="24"/>
          <w:u w:val="none"/>
          <w:shd w:fill="auto" w:val="clear"/>
          <w:vertAlign w:val="baseline"/>
          <w:rtl w:val="0"/>
        </w:rPr>
        <w:t xml:space="preserve">Intention </w:t>
      </w:r>
      <w:r w:rsidDel="00000000" w:rsidR="00000000" w:rsidRPr="00000000">
        <w:rPr>
          <w:b w:val="1"/>
          <w:color w:val="2f5596"/>
          <w:sz w:val="24"/>
          <w:szCs w:val="24"/>
          <w:rtl w:val="0"/>
        </w:rPr>
        <w:t xml:space="preserve">s</w:t>
      </w:r>
      <w:r w:rsidDel="00000000" w:rsidR="00000000" w:rsidRPr="00000000">
        <w:rPr>
          <w:rFonts w:ascii="Calibri" w:cs="Calibri" w:eastAsia="Calibri" w:hAnsi="Calibri"/>
          <w:b w:val="1"/>
          <w:i w:val="0"/>
          <w:smallCaps w:val="0"/>
          <w:strike w:val="0"/>
          <w:color w:val="2f5596"/>
          <w:sz w:val="24"/>
          <w:szCs w:val="24"/>
          <w:u w:val="none"/>
          <w:shd w:fill="auto" w:val="clear"/>
          <w:vertAlign w:val="baseline"/>
          <w:rtl w:val="0"/>
        </w:rPr>
        <w:t xml:space="preserve">tatement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What is the desired outcome of the investment?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How would the beneficiary describe the outcome?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Does the outcome have a tangible in-country benefit?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How would the beneficiary describe the benefit?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Write your investment’s </w:t>
      </w:r>
      <w:r w:rsidDel="00000000" w:rsidR="00000000" w:rsidRPr="00000000">
        <w:rPr>
          <w:b w:val="1"/>
          <w:sz w:val="24"/>
          <w:szCs w:val="24"/>
          <w:rtl w:val="0"/>
        </w:rPr>
        <w:t xml:space="preserve">i</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ntention </w:t>
      </w:r>
      <w:r w:rsidDel="00000000" w:rsidR="00000000" w:rsidRPr="00000000">
        <w:rPr>
          <w:b w:val="1"/>
          <w:sz w:val="24"/>
          <w:szCs w:val="24"/>
          <w:rtl w:val="0"/>
        </w:rPr>
        <w:t xml:space="preserve">s</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tatement below:</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tl w:val="0"/>
        </w:rPr>
      </w:r>
    </w:p>
    <w:tbl>
      <w:tblPr>
        <w:tblStyle w:val="Table2"/>
        <w:tblW w:w="9923.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923"/>
        <w:tblGridChange w:id="0">
          <w:tblGrid>
            <w:gridCol w:w="9923"/>
          </w:tblGrid>
        </w:tblGridChange>
      </w:tblGrid>
      <w:tr>
        <w:trPr>
          <w:cantSplit w:val="0"/>
          <w:tblHeader w:val="0"/>
        </w:trPr>
        <w:tc>
          <w:tcPr/>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tc>
      </w:tr>
    </w:tbl>
    <w:p w:rsidR="00000000" w:rsidDel="00000000" w:rsidP="00000000" w:rsidRDefault="00000000" w:rsidRPr="00000000" w14:paraId="00000031">
      <w:pPr>
        <w:ind w:firstLine="0"/>
        <w:rPr>
          <w:b w:val="1"/>
        </w:rPr>
      </w:pPr>
      <w:r w:rsidDel="00000000" w:rsidR="00000000" w:rsidRPr="00000000">
        <w:rPr>
          <w:rtl w:val="0"/>
        </w:rPr>
      </w:r>
    </w:p>
    <w:p w:rsidR="00000000" w:rsidDel="00000000" w:rsidP="00000000" w:rsidRDefault="00000000" w:rsidRPr="00000000" w14:paraId="00000032">
      <w:pPr>
        <w:ind w:firstLine="0"/>
        <w:rPr/>
        <w:sectPr>
          <w:headerReference r:id="rId7" w:type="default"/>
          <w:footerReference r:id="rId8" w:type="default"/>
          <w:pgSz w:h="15840" w:w="12240" w:orient="portrait"/>
          <w:pgMar w:bottom="1440" w:top="1440" w:left="1080" w:right="1080" w:header="288" w:footer="28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ind w:firstLine="0"/>
        <w:rPr/>
      </w:pPr>
      <w:r w:rsidDel="00000000" w:rsidR="00000000" w:rsidRPr="00000000">
        <w:rPr>
          <w:rtl w:val="0"/>
        </w:rPr>
        <w:t xml:space="preserve">3. Specify your intervention type</w:t>
      </w:r>
    </w:p>
    <w:p w:rsidR="00000000" w:rsidDel="00000000" w:rsidP="00000000" w:rsidRDefault="00000000" w:rsidRPr="00000000" w14:paraId="00000034">
      <w:pPr>
        <w:rPr/>
      </w:pPr>
      <w:r w:rsidDel="00000000" w:rsidR="00000000" w:rsidRPr="00000000">
        <w:rPr>
          <w:rtl w:val="0"/>
        </w:rPr>
        <w:t xml:space="preserve">These intervention types will help you conceptualize additional sub-steps or activities that are integral to your investment but that you may not have considered. </w:t>
        <w:br w:type="textWrapping"/>
        <w:t xml:space="preserve">They should address the data problem and intention statements defined in the previous section.</w:t>
      </w:r>
    </w:p>
    <w:tbl>
      <w:tblPr>
        <w:tblStyle w:val="Table3"/>
        <w:tblW w:w="13603.000000000002"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80"/>
        <w:gridCol w:w="5386"/>
        <w:gridCol w:w="3261"/>
        <w:gridCol w:w="2976"/>
        <w:tblGridChange w:id="0">
          <w:tblGrid>
            <w:gridCol w:w="1980"/>
            <w:gridCol w:w="5386"/>
            <w:gridCol w:w="3261"/>
            <w:gridCol w:w="2976"/>
          </w:tblGrid>
        </w:tblGridChange>
      </w:tblGrid>
      <w:tr>
        <w:trPr>
          <w:cantSplit w:val="0"/>
          <w:tblHeader w:val="0"/>
        </w:trPr>
        <w:tc>
          <w:tcPr>
            <w:vMerge w:val="restart"/>
            <w:shd w:fill="dbe5f1" w:val="clear"/>
            <w:tcMar>
              <w:top w:w="198.0" w:type="dxa"/>
              <w:left w:w="198.0" w:type="dxa"/>
              <w:bottom w:w="198.0" w:type="dxa"/>
              <w:right w:w="198.0" w:type="dxa"/>
            </w:tcM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Theme</w:t>
            </w:r>
            <w:r w:rsidDel="00000000" w:rsidR="00000000" w:rsidRPr="00000000">
              <w:rPr>
                <w:rtl w:val="0"/>
              </w:rPr>
            </w:r>
          </w:p>
        </w:tc>
        <w:tc>
          <w:tcPr>
            <w:vMerge w:val="restart"/>
            <w:shd w:fill="dbe5f1" w:val="clear"/>
            <w:tcMar>
              <w:top w:w="198.0" w:type="dxa"/>
              <w:left w:w="198.0" w:type="dxa"/>
              <w:bottom w:w="198.0" w:type="dxa"/>
              <w:right w:w="198.0" w:type="dxa"/>
            </w:tcM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666666"/>
                <w:sz w:val="20"/>
                <w:szCs w:val="20"/>
                <w:u w:val="none"/>
                <w:shd w:fill="auto" w:val="clear"/>
                <w:vertAlign w:val="baseline"/>
                <w:rtl w:val="0"/>
              </w:rPr>
              <w:t xml:space="preserve">Does the investment propose the following activity?</w:t>
            </w:r>
            <w:r w:rsidDel="00000000" w:rsidR="00000000" w:rsidRPr="00000000">
              <w:rPr>
                <w:rtl w:val="0"/>
              </w:rPr>
            </w:r>
          </w:p>
        </w:tc>
        <w:tc>
          <w:tcPr>
            <w:gridSpan w:val="2"/>
            <w:shd w:fill="dbe5f1" w:val="cle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Your investments</w:t>
            </w:r>
          </w:p>
        </w:tc>
      </w:tr>
      <w:tr>
        <w:trPr>
          <w:cantSplit w:val="0"/>
          <w:tblHeader w:val="0"/>
        </w:trPr>
        <w:tc>
          <w:tcPr>
            <w:vMerge w:val="continue"/>
            <w:shd w:fill="dbe5f1" w:val="clear"/>
            <w:tcMar>
              <w:top w:w="198.0" w:type="dxa"/>
              <w:left w:w="198.0" w:type="dxa"/>
              <w:bottom w:w="198.0" w:type="dxa"/>
              <w:right w:w="198.0"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tl w:val="0"/>
              </w:rPr>
            </w:r>
          </w:p>
        </w:tc>
        <w:tc>
          <w:tcPr>
            <w:vMerge w:val="continue"/>
            <w:shd w:fill="dbe5f1" w:val="clear"/>
            <w:tcMar>
              <w:top w:w="198.0" w:type="dxa"/>
              <w:left w:w="198.0" w:type="dxa"/>
              <w:bottom w:w="198.0" w:type="dxa"/>
              <w:right w:w="198.0"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tl w:val="0"/>
              </w:rPr>
            </w:r>
          </w:p>
        </w:tc>
        <w:tc>
          <w:tcPr>
            <w:shd w:fill="dbe5f1" w:val="cle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Yes</w:t>
            </w:r>
          </w:p>
        </w:tc>
        <w:tc>
          <w:tcPr>
            <w:shd w:fill="dbe5f1" w:val="cle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No</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Collecting data</w:t>
            </w:r>
          </w:p>
        </w:tc>
        <w:tc>
          <w:tcPr>
            <w:tcMar>
              <w:top w:w="198.0" w:type="dxa"/>
              <w:left w:w="198.0" w:type="dxa"/>
              <w:bottom w:w="198.0" w:type="dxa"/>
              <w:right w:w="198.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Collecting or creating new data.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proposes to collect or create new data for a specified purpose. </w:t>
              <w:br w:type="textWrapping"/>
              <w:t xml:space="preserve">It is likely that certain actors or groups will need to access, use and share </w:t>
              <w:br w:type="textWrapping"/>
              <w:t xml:space="preserve">the data during or after the lifetime of the grant.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Merge w:val="restart"/>
            <w:tcMar>
              <w:top w:w="198.0" w:type="dxa"/>
              <w:left w:w="198.0" w:type="dxa"/>
              <w:bottom w:w="198.0" w:type="dxa"/>
              <w:right w:w="198.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Stakeholder collaboration</w:t>
            </w:r>
          </w:p>
        </w:tc>
        <w:tc>
          <w:tcPr>
            <w:tcMar>
              <w:top w:w="198.0" w:type="dxa"/>
              <w:left w:w="198.0" w:type="dxa"/>
              <w:bottom w:w="198.0" w:type="dxa"/>
              <w:right w:w="198.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Bringing together data and information from multiple sources.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investment includes a need to gather together data and information on a particular topic or location to address a particular challenge. For example, by bringing together data from governments, private companies and research institutions.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vMerge w:val="continue"/>
            <w:tcMar>
              <w:top w:w="198.0" w:type="dxa"/>
              <w:left w:w="198.0" w:type="dxa"/>
              <w:bottom w:w="198.0" w:type="dxa"/>
              <w:right w:w="198.0" w:type="dxa"/>
            </w:tcM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Multiple actors accessing and using content.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works in an ecosystem of actors requiring access to the same content – for example, this could be to carry out research, define public </w:t>
              <w:br w:type="textWrapping"/>
              <w:t xml:space="preserve">or private sector interventions, or drive innovation.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color w:val="000000"/>
                <w:sz w:val="18"/>
                <w:szCs w:val="18"/>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Private and public sector collaboration.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success of the investment is dependent on bringing together actors </w:t>
              <w:br w:type="textWrapping"/>
              <w:t xml:space="preserve">from the private and public sector. The grantee needs to gather data </w:t>
              <w:br w:type="textWrapping"/>
              <w:t xml:space="preserve">and information on a particular topic or location to address a particular challenge, and to make this data available to stakeholders in both the public and private sector. To that end, actors must be aligned and committed to </w:t>
              <w:br w:type="textWrapping"/>
              <w:t xml:space="preserve">a shared vision to incorporate FAIR processes throughout the project.</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vMerge w:val="restart"/>
            <w:tcMar>
              <w:top w:w="198.0" w:type="dxa"/>
              <w:left w:w="198.0" w:type="dxa"/>
              <w:bottom w:w="198.0" w:type="dxa"/>
              <w:right w:w="198.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Digital services</w:t>
            </w:r>
          </w:p>
        </w:tc>
        <w:tc>
          <w:tcPr>
            <w:tcMar>
              <w:top w:w="198.0" w:type="dxa"/>
              <w:left w:w="198.0" w:type="dxa"/>
              <w:bottom w:w="198.0" w:type="dxa"/>
              <w:right w:w="19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 w:val="left" w:leader="none" w:pos="978"/>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Development of insights, services, applications or products from data.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 w:val="left" w:leader="none" w:pos="978"/>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proposes to create services or applications from data derived from one or multiple sources and transformed in some way. The right license is required for proper use of data in this way.</w:t>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vMerge w:val="continue"/>
            <w:tcMar>
              <w:top w:w="198.0" w:type="dxa"/>
              <w:left w:w="198.0" w:type="dxa"/>
              <w:bottom w:w="198.0" w:type="dxa"/>
              <w:right w:w="198.0" w:type="dxa"/>
            </w:tcM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Developing or using a digital platform or new technology.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proposes to create a digital platform. This could have multiple purposes - for example, to host or signpost data as part of an evidence base or for analytics. Often digital platforms will have data from multiple sources, with multiple users needing to access and use the data or insights hosted on the platform.</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vMerge w:val="continue"/>
            <w:tcMar>
              <w:top w:w="198.0" w:type="dxa"/>
              <w:left w:w="198.0" w:type="dxa"/>
              <w:bottom w:w="198.0" w:type="dxa"/>
              <w:right w:w="198.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Development of predictive models.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investment intends to use models to analyze, control, visualize </w:t>
              <w:br w:type="textWrapping"/>
              <w:t xml:space="preserve">and predict complex processes. Models have a range of applications in agriculture, including predicting crop volumes based on fertilizer and pesticide use, predicting profit and loss, and analyzing yields. Often models will bring data from multiple sources together to generate outputs.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Farm-level Insights</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Access to farmer and farm information.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To improve farm-level decisions through digitally-enabled services, the investment proposes either to provide insights at farm-level, and/or </w:t>
              <w:br w:type="textWrapping"/>
              <w:t xml:space="preserve">require a log in, both of which are likely to include access to personal </w:t>
              <w:br w:type="textWrapping"/>
              <w:t xml:space="preserve">or sensitive data.</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vMerge w:val="restart"/>
            <w:tcMar>
              <w:top w:w="198.0" w:type="dxa"/>
              <w:left w:w="198.0" w:type="dxa"/>
              <w:bottom w:w="198.0" w:type="dxa"/>
              <w:right w:w="198.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color w:val="000000"/>
                <w:sz w:val="18"/>
                <w:szCs w:val="18"/>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Using GPS or adding geographical coordinates or locations.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proposes to use maps, or add information to maps, such as population, administrative boundaries, farm locations or the location of pests. Note that not all basemaps or mapping apps permit use in this way.</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38135"/>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38135"/>
                <w:sz w:val="16"/>
                <w:szCs w:val="16"/>
                <w:u w:val="none"/>
                <w:shd w:fill="auto" w:val="clear"/>
                <w:vertAlign w:val="baseline"/>
              </w:rPr>
            </w:pPr>
            <w:r w:rsidDel="00000000" w:rsidR="00000000" w:rsidRPr="00000000">
              <w:rPr>
                <w:rtl w:val="0"/>
              </w:rPr>
            </w:r>
          </w:p>
        </w:tc>
      </w:tr>
      <w:tr>
        <w:trPr>
          <w:cantSplit w:val="0"/>
          <w:tblHeader w:val="0"/>
        </w:trPr>
        <w:tc>
          <w:tcPr>
            <w:vMerge w:val="continue"/>
            <w:tcMar>
              <w:top w:w="198.0" w:type="dxa"/>
              <w:left w:w="198.0" w:type="dxa"/>
              <w:bottom w:w="198.0" w:type="dxa"/>
              <w:right w:w="198.0" w:type="dxa"/>
            </w:tcM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538135"/>
                <w:sz w:val="16"/>
                <w:szCs w:val="16"/>
                <w:u w:val="none"/>
                <w:shd w:fill="auto" w:val="clear"/>
                <w:vertAlign w:val="baseline"/>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Accessing, using or sharing surveillance data.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investment proposes to collect or access data from surveillance activities - for example, identifying the presence of human disease like malaria, or providing insight into what is happening in farmers' fields through crop types, pest or pathogen presence, or the weather.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42.0" w:type="dxa"/>
              <w:left w:w="198.0" w:type="dxa"/>
              <w:bottom w:w="142.0" w:type="dxa"/>
              <w:right w:w="198.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Data sharing/</w:t>
              <w:br w:type="textWrapping"/>
              <w:t xml:space="preserve">publication</w:t>
            </w: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Publishing or sharing data or research.</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investment plans to share data either with a specific group via a platform, or published openly via an open access repository. For example, sharing crop variety, environmental surveillance or soil data through a soil information system or via the Gates Open Access portal.</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595959"/>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42.0" w:type="dxa"/>
              <w:left w:w="198.0" w:type="dxa"/>
              <w:bottom w:w="142.0" w:type="dxa"/>
              <w:right w:w="198.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Data integration and harmonization</w:t>
            </w: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Integrating or harmonizing data</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investment plans to combine data from multiple sources into a coherent, standardized format to enable more comprehensive analysis </w:t>
              <w:br w:type="textWrapping"/>
              <w:t xml:space="preserve">and insights</w:t>
            </w:r>
            <w:r w:rsidDel="00000000" w:rsidR="00000000" w:rsidRPr="00000000">
              <w:rPr>
                <w:color w:val="595959"/>
                <w:sz w:val="16"/>
                <w:szCs w:val="16"/>
                <w:rtl w:val="0"/>
              </w:rPr>
              <w:t xml:space="preserve">—</w:t>
            </w: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for example, to improve livestock health and productivity, insights from analysis gained from the integration of data from various sources such as animal health records, feed management, and environmental conditions can help in decision-making.</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7"/>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42.0" w:type="dxa"/>
              <w:left w:w="198.0" w:type="dxa"/>
              <w:bottom w:w="142.0" w:type="dxa"/>
              <w:right w:w="198.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Prediction and simulation</w:t>
            </w:r>
          </w:p>
        </w:tc>
        <w:tc>
          <w:tcPr>
            <w:tcMar>
              <w:top w:w="142.0" w:type="dxa"/>
              <w:left w:w="198.0" w:type="dxa"/>
              <w:bottom w:w="142.0" w:type="dxa"/>
              <w:right w:w="198.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Predictive modeling</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Within a rapidly changing context and condition, the grantee proposes </w:t>
              <w:br w:type="textWrapping"/>
              <w:t xml:space="preserve">to create models to forecast future conditions, optimize resource usage, </w:t>
              <w:br w:type="textWrapping"/>
              <w:t xml:space="preserve">and make data-driven decisions. For example, crop yield prediction, or pest and disease outbreak prediction. For prediction, it can involve the use of machine learning (ML) algorithms, deep learning algorithms, or advanced statistical analysis to identify patterns in the data, allowing for forecasts </w:t>
              <w:br w:type="textWrapping"/>
              <w:t xml:space="preserve">that help optimize decision-making.</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42.0" w:type="dxa"/>
              <w:left w:w="198.0" w:type="dxa"/>
              <w:bottom w:w="142.0" w:type="dxa"/>
              <w:right w:w="198.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sz w:val="18"/>
                <w:szCs w:val="18"/>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Simulation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proposes to understand the behavior of a system by modeling different scenarios and observing their outcomes. For example, crop growth simulation </w:t>
            </w:r>
            <w:r w:rsidDel="00000000" w:rsidR="00000000" w:rsidRPr="00000000">
              <w:rPr>
                <w:color w:val="595959"/>
                <w:sz w:val="16"/>
                <w:szCs w:val="16"/>
                <w:rtl w:val="0"/>
              </w:rPr>
              <w:t xml:space="preserve">modeling</w:t>
            </w: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 which helps understand how crops will grow under different environmental and management conditions.</w:t>
            </w:r>
          </w:p>
        </w:tc>
        <w:tc>
          <w:tcPr>
            <w:tcMar>
              <w:top w:w="142.0" w:type="dxa"/>
              <w:left w:w="198.0" w:type="dxa"/>
              <w:bottom w:w="142.0" w:type="dxa"/>
              <w:right w:w="198.0" w:type="dxa"/>
            </w:tcM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42.0" w:type="dxa"/>
              <w:left w:w="198.0" w:type="dxa"/>
              <w:bottom w:w="142.0" w:type="dxa"/>
              <w:right w:w="198.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storage and archiving</w:t>
            </w:r>
          </w:p>
        </w:tc>
        <w:tc>
          <w:tcPr>
            <w:tcMar>
              <w:top w:w="142.0" w:type="dxa"/>
              <w:left w:w="198.0" w:type="dxa"/>
              <w:bottom w:w="142.0" w:type="dxa"/>
              <w:right w:w="198.0" w:type="dxa"/>
            </w:tcM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Data preservation and archiving</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The grantee seeks to provide for long-term storage of data to ensure sustainability and future use. For instance, creating data backups, storing data in sustainable formats, creating archiving policies that maximize data reuse over time.</w:t>
            </w:r>
          </w:p>
        </w:tc>
        <w:tc>
          <w:tcPr>
            <w:tcMar>
              <w:top w:w="142.0" w:type="dxa"/>
              <w:left w:w="198.0" w:type="dxa"/>
              <w:bottom w:w="142.0" w:type="dxa"/>
              <w:right w:w="198.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blHeader w:val="0"/>
        </w:trPr>
        <w:tc>
          <w:tcPr>
            <w:tcMar>
              <w:top w:w="142.0" w:type="dxa"/>
              <w:left w:w="198.0" w:type="dxa"/>
              <w:bottom w:w="142.0" w:type="dxa"/>
              <w:right w:w="198.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Data presentation</w:t>
            </w:r>
          </w:p>
          <w:p w:rsidR="00000000" w:rsidDel="00000000" w:rsidP="00000000" w:rsidRDefault="00000000" w:rsidRPr="00000000" w14:paraId="00000094">
            <w:pPr>
              <w:tabs>
                <w:tab w:val="left" w:leader="none" w:pos="1058"/>
              </w:tabs>
              <w:ind w:firstLine="0"/>
              <w:rPr>
                <w:rFonts w:ascii="Calibri" w:cs="Calibri" w:eastAsia="Calibri" w:hAnsi="Calibri"/>
                <w:sz w:val="18"/>
                <w:szCs w:val="18"/>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Data visualization and communication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Fonts w:ascii="Calibri" w:cs="Calibri" w:eastAsia="Calibri" w:hAnsi="Calibri"/>
                <w:b w:val="0"/>
                <w:i w:val="0"/>
                <w:smallCaps w:val="0"/>
                <w:strike w:val="0"/>
                <w:color w:val="595959"/>
                <w:sz w:val="16"/>
                <w:szCs w:val="16"/>
                <w:u w:val="none"/>
                <w:shd w:fill="auto" w:val="clear"/>
                <w:vertAlign w:val="baseline"/>
                <w:rtl w:val="0"/>
              </w:rPr>
              <w:t xml:space="preserve">To communicate data visually and in a more relatable form, the grantee proposes to transform raw data into formats that are easily understandable and actionable - for example, the use of dashboards and infographics or interactive maps. Data visualization eases the comprehension of complex data by non-technical people such as smallholder farmers, helping them make decisions.  </w:t>
            </w:r>
          </w:p>
        </w:tc>
        <w:tc>
          <w:tcPr>
            <w:tcMar>
              <w:top w:w="142.0" w:type="dxa"/>
              <w:left w:w="198.0" w:type="dxa"/>
              <w:bottom w:w="142.0" w:type="dxa"/>
              <w:right w:w="198.0" w:type="dxa"/>
            </w:tcM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tcMar>
              <w:top w:w="142.0" w:type="dxa"/>
              <w:left w:w="198.0" w:type="dxa"/>
              <w:bottom w:w="142.0" w:type="dxa"/>
              <w:right w:w="198.0" w:type="dxa"/>
            </w:tcM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99">
      <w:pPr>
        <w:pStyle w:val="Heading1"/>
        <w:ind w:firstLine="0"/>
        <w:rPr/>
        <w:sectPr>
          <w:headerReference r:id="rId9" w:type="default"/>
          <w:footerReference r:id="rId10" w:type="default"/>
          <w:type w:val="nextPage"/>
          <w:pgSz w:h="12240" w:w="15840" w:orient="landscape"/>
          <w:pgMar w:bottom="1077" w:top="1077" w:left="1134" w:right="1134" w:header="289" w:footer="289"/>
        </w:sectPr>
      </w:pPr>
      <w:r w:rsidDel="00000000" w:rsidR="00000000" w:rsidRPr="00000000">
        <w:rPr>
          <w:rtl w:val="0"/>
        </w:rPr>
      </w:r>
    </w:p>
    <w:p w:rsidR="00000000" w:rsidDel="00000000" w:rsidP="00000000" w:rsidRDefault="00000000" w:rsidRPr="00000000" w14:paraId="0000009A">
      <w:pPr>
        <w:pStyle w:val="Heading2"/>
        <w:ind w:firstLine="0"/>
        <w:rPr>
          <w:b w:val="1"/>
        </w:rPr>
      </w:pPr>
      <w:r w:rsidDel="00000000" w:rsidR="00000000" w:rsidRPr="00000000">
        <w:rPr>
          <w:rtl w:val="0"/>
        </w:rPr>
        <w:t xml:space="preserve">4. Identify the data blockers</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Based on the activities you have identified above, fill in the blockers (in table below, under section 6).</w:t>
      </w:r>
    </w:p>
    <w:p w:rsidR="00000000" w:rsidDel="00000000" w:rsidP="00000000" w:rsidRDefault="00000000" w:rsidRPr="00000000" w14:paraId="0000009C">
      <w:pPr>
        <w:pStyle w:val="Heading2"/>
        <w:ind w:firstLine="0"/>
        <w:rPr/>
      </w:pPr>
      <w:r w:rsidDel="00000000" w:rsidR="00000000" w:rsidRPr="00000000">
        <w:rPr>
          <w:rtl w:val="0"/>
        </w:rPr>
        <w:t xml:space="preserve">5. Locate or develop data levers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Based on the data blockers identified, fill in data levers that will overcome those data blockers (in table below, under section 6).</w:t>
      </w:r>
    </w:p>
    <w:p w:rsidR="00000000" w:rsidDel="00000000" w:rsidP="00000000" w:rsidRDefault="00000000" w:rsidRPr="00000000" w14:paraId="0000009E">
      <w:pPr>
        <w:pStyle w:val="Heading2"/>
        <w:ind w:firstLine="0"/>
        <w:rPr/>
      </w:pPr>
      <w:r w:rsidDel="00000000" w:rsidR="00000000" w:rsidRPr="00000000">
        <w:rPr>
          <w:rtl w:val="0"/>
        </w:rPr>
        <w:t xml:space="preserve">6. Mapping to Data Capacities Ecosystem Culture (DCEC) model</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The DCEC model illustrates how these concepts make up a ‘system’ that is often interconnected, </w:t>
        <w:br w:type="textWrapping"/>
        <w:t xml:space="preserve">with data being just the ‘inner’ circle within a larger ecosystem. Once </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are collected, the question arises: can they be effectively utilized? </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Capacities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encompass the tools and methods necessary to transform these crumbs into actionable information, a process that will inevitably vary depending </w:t>
        <w:br w:type="textWrapping"/>
        <w:t xml:space="preserve">on the context in which the data was acquired. These capacities are possessed by an </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ecosystem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of individuals who work with data, and also those who will be using the information gleaned from data processing. Ultimately, all of these components exist within the superstructure of </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culture</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which includes the set of incentives, expectations and norms that arise from and shape the use of </w:t>
        <w:br w:type="textWrapping"/>
        <w:t xml:space="preserve">data-driven systems.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sectPr>
          <w:headerReference r:id="rId11" w:type="default"/>
          <w:footerReference r:id="rId12" w:type="default"/>
          <w:type w:val="nextPage"/>
          <w:pgSz w:h="15840" w:w="12240" w:orient="portrait"/>
          <w:pgMar w:bottom="1134" w:top="1134" w:left="1077" w:right="1077" w:header="289" w:footer="289"/>
        </w:sect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Mapping the activities to DCEC will help you think about the elements like a system, and to better understand the interconnections while considering data levers (in table below).</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tbl>
      <w:tblPr>
        <w:tblStyle w:val="Table4"/>
        <w:tblW w:w="13556.000000000002" w:type="dxa"/>
        <w:jc w:val="left"/>
        <w:tblLayout w:type="fixed"/>
        <w:tblLook w:val="0400"/>
      </w:tblPr>
      <w:tblGrid>
        <w:gridCol w:w="2402"/>
        <w:gridCol w:w="3402"/>
        <w:gridCol w:w="2693"/>
        <w:gridCol w:w="2552"/>
        <w:gridCol w:w="2507"/>
        <w:tblGridChange w:id="0">
          <w:tblGrid>
            <w:gridCol w:w="2402"/>
            <w:gridCol w:w="3402"/>
            <w:gridCol w:w="2693"/>
            <w:gridCol w:w="2552"/>
            <w:gridCol w:w="2507"/>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be5f1" w:val="clear"/>
            <w:tcMar>
              <w:top w:w="90.0" w:type="dxa"/>
              <w:left w:w="90.0" w:type="dxa"/>
              <w:bottom w:w="90.0" w:type="dxa"/>
              <w:right w:w="90.0" w:type="dxa"/>
            </w:tcM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Data Intervention Type (Theme)</w:t>
            </w:r>
          </w:p>
        </w:tc>
        <w:tc>
          <w:tcPr>
            <w:tcBorders>
              <w:top w:color="999999" w:space="0" w:sz="6" w:val="single"/>
              <w:left w:color="000000" w:space="0" w:sz="6" w:val="single"/>
              <w:bottom w:color="999999" w:space="0" w:sz="6" w:val="single"/>
              <w:right w:color="999999" w:space="0" w:sz="6" w:val="single"/>
            </w:tcBorders>
            <w:shd w:fill="dbe5f1" w:val="clear"/>
            <w:tcMar>
              <w:top w:w="90.0" w:type="dxa"/>
              <w:left w:w="90.0" w:type="dxa"/>
              <w:bottom w:w="90.0" w:type="dxa"/>
              <w:right w:w="90.0" w:type="dxa"/>
            </w:tcMa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Activity </w:t>
            </w:r>
          </w:p>
        </w:tc>
        <w:tc>
          <w:tcPr>
            <w:tcBorders>
              <w:top w:color="999999" w:space="0" w:sz="6" w:val="single"/>
              <w:left w:color="999999" w:space="0" w:sz="6" w:val="single"/>
              <w:bottom w:color="999999" w:space="0" w:sz="6" w:val="single"/>
              <w:right w:color="999999" w:space="0" w:sz="6" w:val="single"/>
            </w:tcBorders>
            <w:shd w:fill="dbe5f1" w:val="clear"/>
            <w:tcMar>
              <w:top w:w="90.0" w:type="dxa"/>
              <w:left w:w="90.0" w:type="dxa"/>
              <w:bottom w:w="90.0" w:type="dxa"/>
              <w:right w:w="90.0" w:type="dxa"/>
            </w:tcM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Blocker </w:t>
            </w:r>
          </w:p>
        </w:tc>
        <w:tc>
          <w:tcPr>
            <w:tcBorders>
              <w:top w:color="999999" w:space="0" w:sz="6" w:val="single"/>
              <w:left w:color="999999" w:space="0" w:sz="6" w:val="single"/>
              <w:bottom w:color="999999" w:space="0" w:sz="6" w:val="single"/>
              <w:right w:color="999999" w:space="0" w:sz="6" w:val="single"/>
            </w:tcBorders>
            <w:shd w:fill="dbe5f1" w:val="clear"/>
            <w:tcMar>
              <w:top w:w="90.0" w:type="dxa"/>
              <w:left w:w="90.0" w:type="dxa"/>
              <w:bottom w:w="90.0" w:type="dxa"/>
              <w:right w:w="90.0" w:type="dxa"/>
            </w:tcM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Lever</w:t>
            </w:r>
          </w:p>
        </w:tc>
        <w:tc>
          <w:tcPr>
            <w:tcBorders>
              <w:top w:color="999999" w:space="0" w:sz="6" w:val="single"/>
              <w:left w:color="999999" w:space="0" w:sz="6" w:val="single"/>
              <w:bottom w:color="999999" w:space="0" w:sz="6" w:val="single"/>
              <w:right w:color="999999" w:space="0" w:sz="6" w:val="single"/>
            </w:tcBorders>
            <w:shd w:fill="dbe5f1" w:val="clear"/>
            <w:tcMar>
              <w:top w:w="90.0" w:type="dxa"/>
              <w:left w:w="90.0" w:type="dxa"/>
              <w:bottom w:w="90.0" w:type="dxa"/>
              <w:right w:w="90.0" w:type="dxa"/>
            </w:tcM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8"/>
                <w:szCs w:val="18"/>
                <w:u w:val="none"/>
                <w:shd w:fill="auto" w:val="clear"/>
                <w:vertAlign w:val="baseline"/>
              </w:rPr>
            </w:pPr>
            <w:r w:rsidDel="00000000" w:rsidR="00000000" w:rsidRPr="00000000">
              <w:rPr>
                <w:rFonts w:ascii="Calibri" w:cs="Calibri" w:eastAsia="Calibri" w:hAnsi="Calibri"/>
                <w:b w:val="1"/>
                <w:i w:val="0"/>
                <w:smallCaps w:val="0"/>
                <w:strike w:val="0"/>
                <w:color w:val="666666"/>
                <w:sz w:val="18"/>
                <w:szCs w:val="18"/>
                <w:u w:val="none"/>
                <w:shd w:fill="auto" w:val="clear"/>
                <w:vertAlign w:val="baseline"/>
                <w:rtl w:val="0"/>
              </w:rPr>
              <w:t xml:space="preserve">DCEC mapping</w:t>
            </w:r>
          </w:p>
        </w:tc>
      </w:tr>
      <w:tr>
        <w:trPr>
          <w:cantSplit w:val="0"/>
          <w:trHeight w:val="300" w:hRule="atLeast"/>
          <w:tblHeader w:val="0"/>
        </w:trPr>
        <w:tc>
          <w:tcPr>
            <w:tcBorders>
              <w:top w:color="000000"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Collecting data</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Collecting or creating new data.</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713" w:hRule="atLeast"/>
          <w:tblHeader w:val="0"/>
        </w:trPr>
        <w:tc>
          <w:tcPr>
            <w:vMerge w:val="restart"/>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Stakeholder collaboration </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Bringing together data and information from multiple sources.</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29" w:hRule="atLeast"/>
          <w:tblHeader w:val="0"/>
        </w:trPr>
        <w:tc>
          <w:tcPr>
            <w:vMerge w:val="continue"/>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Multiple actors accessing and using content.</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39" w:hRule="atLeast"/>
          <w:tblHeader w:val="0"/>
        </w:trPr>
        <w:tc>
          <w:tcPr>
            <w:vMerge w:val="continue"/>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Private and public sector collaboration.</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55" w:hRule="atLeast"/>
          <w:tblHeader w:val="0"/>
        </w:trPr>
        <w:tc>
          <w:tcPr>
            <w:vMerge w:val="restart"/>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Digital services</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Development of insights, services, applications </w:t>
              <w:br w:type="textWrapping"/>
              <w:t xml:space="preserve">or products from data.</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361" w:hRule="atLeast"/>
          <w:tblHeader w:val="0"/>
        </w:trPr>
        <w:tc>
          <w:tcPr>
            <w:vMerge w:val="continue"/>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Developing or using a digital platform or new technology.</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Development of predictive models. </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578" w:hRule="atLeast"/>
          <w:tblHeader w:val="0"/>
        </w:trPr>
        <w:tc>
          <w:tcPr>
            <w:vMerge w:val="restart"/>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Farm-level Insights </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Access to farmer and farm information.</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405" w:hRule="atLeast"/>
          <w:tblHeader w:val="0"/>
        </w:trPr>
        <w:tc>
          <w:tcPr>
            <w:vMerge w:val="continue"/>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Using GPS or adding geographical coordinates </w:t>
              <w:br w:type="textWrapping"/>
              <w:t xml:space="preserve">or locations. </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405" w:hRule="atLeast"/>
          <w:tblHeader w:val="0"/>
        </w:trPr>
        <w:tc>
          <w:tcPr>
            <w:vMerge w:val="continue"/>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Accessing, using, or sharing surveillance data. </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790" w:hRule="atLeast"/>
          <w:tblHeader w:val="0"/>
        </w:trPr>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sharing</w:t>
              <w:br w:type="textWrapping"/>
              <w:t xml:space="preserve">/publication</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Publishing or sharing data or research.</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300" w:hRule="atLeast"/>
          <w:tblHeader w:val="0"/>
        </w:trPr>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integration </w:t>
              <w:br w:type="textWrapping"/>
              <w:t xml:space="preserve">and harmonization</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Combining data from multiple sources.</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300" w:hRule="atLeast"/>
          <w:tblHeader w:val="0"/>
        </w:trPr>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Prediction and simulation</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Creating models to forecast future conditions </w:t>
              <w:br w:type="textWrapping"/>
              <w:t xml:space="preserve">or understand the behaviors of a system.</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300" w:hRule="atLeast"/>
          <w:tblHeader w:val="0"/>
        </w:trPr>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storage and archiving</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Seeking long-term storage of data.</w:t>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tcMar>
              <w:top w:w="90.0" w:type="dxa"/>
              <w:left w:w="90.0" w:type="dxa"/>
              <w:bottom w:w="90.0" w:type="dxa"/>
              <w:right w:w="90.0" w:type="dxa"/>
            </w:tcM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300" w:hRule="atLeast"/>
          <w:tblHeader w:val="0"/>
        </w:trPr>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presentation and communication</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Communicating data visually.</w:t>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c>
          <w:tcPr>
            <w:tcBorders>
              <w:top w:color="999999" w:space="0" w:sz="6" w:val="single"/>
              <w:left w:color="999999" w:space="0" w:sz="6" w:val="single"/>
              <w:bottom w:color="999999" w:space="0" w:sz="6" w:val="single"/>
              <w:right w:color="999999" w:space="0" w:sz="6" w:val="single"/>
            </w:tcBorders>
            <w:shd w:fill="efefef" w:val="clear"/>
            <w:tcMar>
              <w:top w:w="90.0" w:type="dxa"/>
              <w:left w:w="90.0" w:type="dxa"/>
              <w:bottom w:w="90.0" w:type="dxa"/>
              <w:right w:w="90.0" w:type="dxa"/>
            </w:tcM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F2">
      <w:pPr>
        <w:pStyle w:val="Heading2"/>
        <w:ind w:firstLine="0"/>
        <w:rPr/>
      </w:pPr>
      <w:r w:rsidDel="00000000" w:rsidR="00000000" w:rsidRPr="00000000">
        <w:rPr>
          <w:rtl w:val="0"/>
        </w:rPr>
      </w:r>
    </w:p>
    <w:sectPr>
      <w:headerReference r:id="rId13" w:type="default"/>
      <w:footerReference r:id="rId14" w:type="default"/>
      <w:type w:val="nextPage"/>
      <w:pgSz w:h="12240" w:w="15840" w:orient="landscape"/>
      <w:pgMar w:bottom="1077" w:top="1077" w:left="1134" w:right="1134" w:header="289" w:footer="28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tabs>
        <w:tab w:val="right" w:leader="none" w:pos="10080"/>
      </w:tabs>
      <w:ind w:firstLine="0"/>
      <w:rPr>
        <w:color w:val="b7b7b7"/>
        <w:sz w:val="18"/>
        <w:szCs w:val="18"/>
      </w:rPr>
    </w:pPr>
    <w:hyperlink r:id="rId1">
      <w:r w:rsidDel="00000000" w:rsidR="00000000" w:rsidRPr="00000000">
        <w:rPr>
          <w:i w:val="1"/>
          <w:color w:val="1155cc"/>
          <w:u w:val="single"/>
          <w:rtl w:val="0"/>
        </w:rPr>
        <w:t xml:space="preserve">FAIRProcessFramework.org/steps/step-1/</w:t>
      </w:r>
    </w:hyperlink>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and Melinda Gates Foundation</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tabs>
        <w:tab w:val="right" w:leader="none" w:pos="13596.000000000002"/>
      </w:tabs>
      <w:ind w:firstLine="0"/>
      <w:rPr>
        <w:color w:val="b7b7b7"/>
        <w:sz w:val="18"/>
        <w:szCs w:val="18"/>
      </w:rPr>
    </w:pPr>
    <w:hyperlink r:id="rId1">
      <w:r w:rsidDel="00000000" w:rsidR="00000000" w:rsidRPr="00000000">
        <w:rPr>
          <w:i w:val="1"/>
          <w:color w:val="1155cc"/>
          <w:u w:val="single"/>
          <w:rtl w:val="0"/>
        </w:rPr>
        <w:t xml:space="preserve">FAIRProcessFramework.org/steps/step-1/</w:t>
      </w:r>
    </w:hyperlink>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and Melinda Gates Foundation</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tabs>
        <w:tab w:val="right" w:leader="none" w:pos="10083"/>
      </w:tabs>
      <w:ind w:firstLine="0"/>
      <w:rPr>
        <w:color w:val="b7b7b7"/>
        <w:sz w:val="18"/>
        <w:szCs w:val="18"/>
      </w:rPr>
    </w:pPr>
    <w:hyperlink r:id="rId1">
      <w:r w:rsidDel="00000000" w:rsidR="00000000" w:rsidRPr="00000000">
        <w:rPr>
          <w:i w:val="1"/>
          <w:color w:val="1155cc"/>
          <w:u w:val="single"/>
          <w:rtl w:val="0"/>
        </w:rPr>
        <w:t xml:space="preserve">FAIRProcessFramework.org/steps/step-1/</w:t>
      </w:r>
    </w:hyperlink>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tabs>
        <w:tab w:val="right" w:leader="none" w:pos="13596.000000000002"/>
      </w:tabs>
      <w:ind w:firstLine="0"/>
      <w:rPr>
        <w:color w:val="b7b7b7"/>
        <w:sz w:val="18"/>
        <w:szCs w:val="18"/>
      </w:rPr>
    </w:pPr>
    <w:hyperlink r:id="rId1">
      <w:r w:rsidDel="00000000" w:rsidR="00000000" w:rsidRPr="00000000">
        <w:rPr>
          <w:i w:val="1"/>
          <w:color w:val="1155cc"/>
          <w:u w:val="single"/>
          <w:rtl w:val="0"/>
        </w:rPr>
        <w:t xml:space="preserve">FAIRProcessFramework.org/steps/step-1/</w:t>
      </w:r>
    </w:hyperlink>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widowControl w:val="0"/>
      <w:pBdr>
        <w:top w:color="000000" w:space="0" w:sz="0" w:val="none"/>
        <w:bottom w:color="000000" w:space="0" w:sz="0" w:val="none"/>
        <w:right w:color="000000" w:space="0" w:sz="0" w:val="none"/>
        <w:between w:color="000000" w:space="0" w:sz="0" w:val="none"/>
      </w:pBdr>
      <w:tabs>
        <w:tab w:val="right" w:leader="none" w:pos="10170"/>
      </w:tabs>
      <w:spacing w:line="259" w:lineRule="auto"/>
      <w:ind w:firstLine="0"/>
      <w:rPr>
        <w:color w:val="b7b7b7"/>
        <w:sz w:val="24"/>
        <w:szCs w:val="24"/>
      </w:rPr>
    </w:pPr>
    <w:r w:rsidDel="00000000" w:rsidR="00000000" w:rsidRPr="00000000">
      <w:rPr>
        <w:color w:val="b7b7b7"/>
        <w:sz w:val="24"/>
        <w:szCs w:val="24"/>
        <w:rtl w:val="0"/>
      </w:rPr>
      <w:t xml:space="preserve">FAIR Process Framework – Workbook 1</w:t>
      <w:tab/>
      <w:t xml:space="preserve">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10</w:t>
    </w:r>
    <w:r w:rsidDel="00000000" w:rsidR="00000000" w:rsidRPr="00000000">
      <w:rPr>
        <w:color w:val="b7b7b7"/>
        <w:sz w:val="24"/>
        <w:szCs w:val="24"/>
        <w:rtl w:val="0"/>
      </w:rPr>
      <w:tab/>
      <w:t xml:space="preserve">Go to supporting </w:t>
    </w:r>
    <w:hyperlink r:id="rId1">
      <w:r w:rsidDel="00000000" w:rsidR="00000000" w:rsidRPr="00000000">
        <w:rPr>
          <w:color w:val="b7b7b7"/>
          <w:sz w:val="24"/>
          <w:szCs w:val="24"/>
          <w:u w:val="single"/>
          <w:rtl w:val="0"/>
        </w:rPr>
        <w:t xml:space="preserve">factsheet 1</w:t>
      </w:r>
    </w:hyperlink>
    <w:r w:rsidDel="00000000" w:rsidR="00000000" w:rsidRPr="00000000">
      <w:rPr>
        <w:rtl w:val="0"/>
      </w:rPr>
    </w:r>
  </w:p>
  <w:p w:rsidR="00000000" w:rsidDel="00000000" w:rsidP="00000000" w:rsidRDefault="00000000" w:rsidRPr="00000000" w14:paraId="000000F4">
    <w:pPr>
      <w:tabs>
        <w:tab w:val="right" w:leader="none" w:pos="10080"/>
      </w:tabs>
      <w:ind w:firstLine="0"/>
      <w:rPr>
        <w:color w:val="b7b7b7"/>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999999"/>
        <w:sz w:val="24"/>
        <w:szCs w:val="24"/>
        <w:rtl w:val="0"/>
      </w:rPr>
      <w:t xml:space="preserve">FAIR Process Framework – Workbook 1</w:t>
    </w:r>
    <w:r w:rsidDel="00000000" w:rsidR="00000000" w:rsidRPr="00000000">
      <w:rPr>
        <w:rFonts w:ascii="Noto Sans" w:cs="Noto Sans" w:eastAsia="Noto Sans" w:hAnsi="Noto Sans"/>
        <w:color w:val="999999"/>
        <w:rtl w:val="0"/>
      </w:rPr>
      <w:tab/>
      <w:tab/>
      <w:tab/>
      <w:tab/>
      <w:tab/>
      <w:tab/>
      <w:tab/>
      <w:tab/>
      <w:tab/>
      <w:tab/>
      <w:tab/>
      <w:tab/>
      <w:t xml:space="preserve"> </w:t>
    </w:r>
    <w:r w:rsidDel="00000000" w:rsidR="00000000" w:rsidRPr="00000000">
      <w:rPr>
        <w:color w:val="b7b7b7"/>
        <w:sz w:val="24"/>
        <w:szCs w:val="24"/>
        <w:rtl w:val="0"/>
      </w:rPr>
      <w:t xml:space="preserve">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10</w:t>
    </w:r>
  </w:p>
  <w:p w:rsidR="00000000" w:rsidDel="00000000" w:rsidP="00000000" w:rsidRDefault="00000000" w:rsidRPr="00000000" w14:paraId="000000F6">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b7b7b7"/>
        <w:sz w:val="24"/>
        <w:szCs w:val="24"/>
        <w:rtl w:val="0"/>
      </w:rPr>
      <w:tab/>
      <w:tab/>
      <w:tab/>
      <w:tab/>
      <w:tab/>
      <w:tab/>
      <w:tab/>
      <w:tab/>
      <w:tab/>
      <w:tab/>
      <w:tab/>
      <w:tab/>
      <w:tab/>
      <w:tab/>
      <w:t xml:space="preserve">            Go to supporting factsheet 1</w:t>
    </w:r>
  </w:p>
  <w:p w:rsidR="00000000" w:rsidDel="00000000" w:rsidP="00000000" w:rsidRDefault="00000000" w:rsidRPr="00000000" w14:paraId="000000F7">
    <w:pPr>
      <w:tabs>
        <w:tab w:val="right" w:leader="none" w:pos="13596.000000000002"/>
      </w:tabs>
      <w:ind w:firstLine="0"/>
      <w:rPr>
        <w:b w:val="1"/>
        <w:color w:val="2f5596"/>
      </w:rPr>
    </w:pPr>
    <w:r w:rsidDel="00000000" w:rsidR="00000000" w:rsidRPr="00000000">
      <w:rPr>
        <w:b w:val="1"/>
        <w:color w:val="2f5596"/>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999999"/>
        <w:sz w:val="24"/>
        <w:szCs w:val="24"/>
        <w:rtl w:val="0"/>
      </w:rPr>
      <w:t xml:space="preserve">FAIR Process Framework – Workbook 1</w:t>
    </w:r>
    <w:r w:rsidDel="00000000" w:rsidR="00000000" w:rsidRPr="00000000">
      <w:rPr>
        <w:rFonts w:ascii="Noto Sans" w:cs="Noto Sans" w:eastAsia="Noto Sans" w:hAnsi="Noto Sans"/>
        <w:color w:val="999999"/>
        <w:rtl w:val="0"/>
      </w:rPr>
      <w:tab/>
      <w:tab/>
      <w:tab/>
      <w:tab/>
      <w:tab/>
      <w:tab/>
      <w:tab/>
      <w:t xml:space="preserve">   </w:t>
    </w:r>
    <w:r w:rsidDel="00000000" w:rsidR="00000000" w:rsidRPr="00000000">
      <w:rPr>
        <w:color w:val="b7b7b7"/>
        <w:sz w:val="24"/>
        <w:szCs w:val="24"/>
        <w:rtl w:val="0"/>
      </w:rPr>
      <w:t xml:space="preserve">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10</w:t>
    </w:r>
  </w:p>
  <w:p w:rsidR="00000000" w:rsidDel="00000000" w:rsidP="00000000" w:rsidRDefault="00000000" w:rsidRPr="00000000" w14:paraId="000000F9">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b7b7b7"/>
        <w:sz w:val="24"/>
        <w:szCs w:val="24"/>
        <w:rtl w:val="0"/>
      </w:rPr>
      <w:tab/>
      <w:tab/>
      <w:tab/>
      <w:tab/>
      <w:tab/>
      <w:tab/>
      <w:tab/>
      <w:tab/>
      <w:tab/>
      <w:tab/>
      <w:t xml:space="preserve">Go to supporting factsheet 1</w:t>
    </w:r>
  </w:p>
  <w:p w:rsidR="00000000" w:rsidDel="00000000" w:rsidP="00000000" w:rsidRDefault="00000000" w:rsidRPr="00000000" w14:paraId="000000FA">
    <w:pPr>
      <w:tabs>
        <w:tab w:val="right" w:leader="none" w:pos="10083"/>
      </w:tabs>
      <w:ind w:firstLine="0"/>
      <w:rPr>
        <w:b w:val="1"/>
        <w:color w:val="2f5596"/>
      </w:rPr>
    </w:pPr>
    <w:r w:rsidDel="00000000" w:rsidR="00000000" w:rsidRPr="00000000">
      <w:rPr>
        <w:b w:val="1"/>
        <w:color w:val="2f5596"/>
        <w:rtl w:val="0"/>
      </w:rPr>
      <w:tab/>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b7b7b7"/>
        <w:sz w:val="24"/>
        <w:szCs w:val="24"/>
        <w:rtl w:val="0"/>
      </w:rPr>
      <w:t xml:space="preserve">FAIR Process Framework – Workbook 1</w:t>
      <w:tab/>
      <w:tab/>
      <w:tab/>
      <w:tab/>
      <w:tab/>
      <w:tab/>
      <w:tab/>
      <w:tab/>
      <w:tab/>
      <w:tab/>
      <w:tab/>
    </w:r>
    <w:r w:rsidDel="00000000" w:rsidR="00000000" w:rsidRPr="00000000">
      <w:rPr>
        <w:b w:val="1"/>
        <w:color w:val="b7b7b7"/>
        <w:sz w:val="24"/>
        <w:szCs w:val="24"/>
        <w:rtl w:val="0"/>
      </w:rPr>
      <w:t xml:space="preserve">             </w:t>
    </w:r>
    <w:r w:rsidDel="00000000" w:rsidR="00000000" w:rsidRPr="00000000">
      <w:rPr>
        <w:color w:val="b7b7b7"/>
        <w:sz w:val="24"/>
        <w:szCs w:val="24"/>
        <w:rtl w:val="0"/>
      </w:rPr>
      <w:t xml:space="preserve">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10</w:t>
    </w:r>
  </w:p>
  <w:p w:rsidR="00000000" w:rsidDel="00000000" w:rsidP="00000000" w:rsidRDefault="00000000" w:rsidRPr="00000000" w14:paraId="000000FC">
    <w:pPr>
      <w:widowControl w:val="0"/>
      <w:pBdr>
        <w:top w:color="000000" w:space="0" w:sz="0" w:val="none"/>
        <w:bottom w:color="000000" w:space="0" w:sz="0" w:val="none"/>
        <w:right w:color="000000" w:space="0" w:sz="0" w:val="none"/>
        <w:between w:color="000000" w:space="0" w:sz="0" w:val="none"/>
      </w:pBdr>
      <w:spacing w:line="259" w:lineRule="auto"/>
      <w:ind w:firstLine="0"/>
      <w:rPr>
        <w:color w:val="b7b7b7"/>
        <w:sz w:val="24"/>
        <w:szCs w:val="24"/>
      </w:rPr>
    </w:pPr>
    <w:r w:rsidDel="00000000" w:rsidR="00000000" w:rsidRPr="00000000">
      <w:rPr>
        <w:color w:val="b7b7b7"/>
        <w:sz w:val="24"/>
        <w:szCs w:val="24"/>
        <w:rtl w:val="0"/>
      </w:rPr>
      <w:tab/>
      <w:tab/>
      <w:tab/>
      <w:tab/>
      <w:tab/>
      <w:tab/>
      <w:tab/>
      <w:tab/>
      <w:tab/>
      <w:tab/>
      <w:tab/>
      <w:tab/>
      <w:tab/>
      <w:tab/>
      <w:t xml:space="preserve">             Go to supporting factsheet 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666666"/>
        <w:lang w:val="en"/>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before="600" w:line="240" w:lineRule="auto"/>
    </w:pPr>
    <w:rPr>
      <w:color w:val="2f5596"/>
      <w:sz w:val="40"/>
      <w:szCs w:val="40"/>
    </w:rPr>
  </w:style>
  <w:style w:type="paragraph" w:styleId="Heading2">
    <w:name w:val="heading 2"/>
    <w:basedOn w:val="Normal"/>
    <w:next w:val="Normal"/>
    <w:pPr>
      <w:keepNext w:val="1"/>
      <w:keepLines w:val="1"/>
      <w:spacing w:after="24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qFormat w:val="1"/>
    <w:rsid w:val="00FA07C2"/>
    <w:pPr>
      <w:spacing w:after="160"/>
      <w:ind w:left="0"/>
    </w:pPr>
    <w:rPr>
      <w:i w:val="0"/>
      <w:sz w:val="20"/>
    </w:rPr>
  </w:style>
  <w:style w:type="paragraph" w:styleId="Heading1">
    <w:name w:val="heading 1"/>
    <w:basedOn w:val="Normal"/>
    <w:next w:val="Normal"/>
    <w:uiPriority w:val="9"/>
    <w:qFormat w:val="1"/>
    <w:rsid w:val="004330E0"/>
    <w:pPr>
      <w:keepNext w:val="1"/>
      <w:keepLines w:val="1"/>
      <w:spacing w:after="600" w:before="600" w:line="240" w:lineRule="auto"/>
      <w:outlineLvl w:val="0"/>
    </w:pPr>
    <w:rPr>
      <w:color w:val="2f5596"/>
      <w:sz w:val="40"/>
      <w:szCs w:val="40"/>
    </w:rPr>
  </w:style>
  <w:style w:type="paragraph" w:styleId="Heading2">
    <w:name w:val="heading 2"/>
    <w:basedOn w:val="Normal"/>
    <w:next w:val="Normal"/>
    <w:uiPriority w:val="9"/>
    <w:unhideWhenUsed w:val="1"/>
    <w:qFormat w:val="1"/>
    <w:rsid w:val="00065C4A"/>
    <w:pPr>
      <w:keepNext w:val="1"/>
      <w:keepLines w:val="1"/>
      <w:spacing w:after="240" w:before="600"/>
      <w:outlineLvl w:val="1"/>
    </w:pPr>
    <w:rPr>
      <w:color w:val="2f5596"/>
      <w:sz w:val="32"/>
      <w:szCs w:val="32"/>
    </w:rPr>
  </w:style>
  <w:style w:type="paragraph" w:styleId="Heading3">
    <w:name w:val="heading 3"/>
    <w:basedOn w:val="Normal"/>
    <w:next w:val="Normal"/>
    <w:uiPriority w:val="9"/>
    <w:unhideWhenUsed w:val="1"/>
    <w:qFormat w:val="1"/>
    <w:pPr>
      <w:keepNext w:val="1"/>
      <w:keepLines w:val="1"/>
      <w:spacing w:after="40" w:before="240"/>
      <w:outlineLvl w:val="2"/>
    </w:pPr>
    <w:rPr>
      <w:sz w:val="26"/>
      <w:szCs w:val="26"/>
    </w:rPr>
  </w:style>
  <w:style w:type="paragraph" w:styleId="Heading4">
    <w:name w:val="heading 4"/>
    <w:basedOn w:val="Normal"/>
    <w:next w:val="Normal"/>
    <w:uiPriority w:val="9"/>
    <w:unhideWhenUsed w:val="1"/>
    <w:qFormat w:val="1"/>
    <w:pPr>
      <w:keepNext w:val="1"/>
      <w:keepLines w:val="1"/>
      <w:spacing w:after="80" w:before="200"/>
      <w:ind w:left="708"/>
      <w:outlineLvl w:val="3"/>
    </w:pPr>
  </w:style>
  <w:style w:type="paragraph" w:styleId="Heading5">
    <w:name w:val="heading 5"/>
    <w:basedOn w:val="Normal"/>
    <w:next w:val="Normal"/>
    <w:uiPriority w:val="9"/>
    <w:unhideWhenUsed w:val="1"/>
    <w:qFormat w:val="1"/>
    <w:pPr>
      <w:keepNext w:val="1"/>
      <w:keepLines w:val="1"/>
      <w:spacing w:after="80" w:before="200"/>
      <w:outlineLvl w:val="4"/>
    </w:pPr>
  </w:style>
  <w:style w:type="paragraph" w:styleId="Heading6">
    <w:name w:val="heading 6"/>
    <w:basedOn w:val="Normal"/>
    <w:next w:val="Normal"/>
    <w:uiPriority w:val="9"/>
    <w:semiHidden w:val="1"/>
    <w:unhideWhenUsed w:val="1"/>
    <w:qFormat w:val="1"/>
    <w:pPr>
      <w:keepNext w:val="1"/>
      <w:keepLines w:val="1"/>
      <w:spacing w:after="80" w:before="240"/>
      <w:outlineLvl w:val="5"/>
    </w:p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4330E0"/>
    <w:pPr>
      <w:keepNext w:val="1"/>
      <w:keepLines w:val="1"/>
      <w:spacing w:after="1080" w:line="240" w:lineRule="auto"/>
    </w:pPr>
    <w:rPr>
      <w:color w:val="2f5596"/>
      <w:sz w:val="7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sz w:val="30"/>
      <w:szCs w:val="30"/>
    </w:rPr>
  </w:style>
  <w:style w:type="table" w:styleId="a"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3D9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15243"/>
  </w:style>
  <w:style w:type="character" w:styleId="CommentReference">
    <w:name w:val="annotation reference"/>
    <w:basedOn w:val="DefaultParagraphFont"/>
    <w:uiPriority w:val="99"/>
    <w:semiHidden w:val="1"/>
    <w:unhideWhenUsed w:val="1"/>
    <w:rsid w:val="00EA3D96"/>
    <w:rPr>
      <w:sz w:val="16"/>
      <w:szCs w:val="16"/>
    </w:rPr>
  </w:style>
  <w:style w:type="paragraph" w:styleId="CommentText">
    <w:name w:val="annotation text"/>
    <w:basedOn w:val="Normal"/>
    <w:link w:val="CommentTextChar"/>
    <w:uiPriority w:val="99"/>
    <w:unhideWhenUsed w:val="1"/>
    <w:rsid w:val="00EA3D96"/>
    <w:pPr>
      <w:spacing w:line="240" w:lineRule="auto"/>
    </w:pPr>
    <w:rPr>
      <w:szCs w:val="20"/>
    </w:rPr>
  </w:style>
  <w:style w:type="character" w:styleId="CommentTextChar" w:customStyle="1">
    <w:name w:val="Comment Text Char"/>
    <w:basedOn w:val="DefaultParagraphFont"/>
    <w:link w:val="CommentText"/>
    <w:uiPriority w:val="99"/>
    <w:rsid w:val="00EA3D96"/>
    <w:rPr>
      <w:sz w:val="20"/>
      <w:szCs w:val="20"/>
    </w:rPr>
  </w:style>
  <w:style w:type="paragraph" w:styleId="CommentSubject">
    <w:name w:val="annotation subject"/>
    <w:basedOn w:val="CommentText"/>
    <w:next w:val="CommentText"/>
    <w:link w:val="CommentSubjectChar"/>
    <w:uiPriority w:val="99"/>
    <w:semiHidden w:val="1"/>
    <w:unhideWhenUsed w:val="1"/>
    <w:rsid w:val="00EA3D96"/>
    <w:rPr>
      <w:b w:val="1"/>
      <w:bCs w:val="1"/>
    </w:rPr>
  </w:style>
  <w:style w:type="character" w:styleId="CommentSubjectChar" w:customStyle="1">
    <w:name w:val="Comment Subject Char"/>
    <w:basedOn w:val="CommentTextChar"/>
    <w:link w:val="CommentSubject"/>
    <w:uiPriority w:val="99"/>
    <w:semiHidden w:val="1"/>
    <w:rsid w:val="00EA3D96"/>
    <w:rPr>
      <w:b w:val="1"/>
      <w:bCs w:val="1"/>
      <w:sz w:val="20"/>
      <w:szCs w:val="20"/>
    </w:rPr>
  </w:style>
  <w:style w:type="table" w:styleId="GridTable1Light">
    <w:name w:val="Grid Table 1 Light"/>
    <w:basedOn w:val="TableNormal"/>
    <w:uiPriority w:val="46"/>
    <w:rsid w:val="00EA3D9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282315"/>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950408"/>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Accent1">
    <w:name w:val="Grid Table 4 Accent 1"/>
    <w:basedOn w:val="TableNormal"/>
    <w:uiPriority w:val="49"/>
    <w:rsid w:val="00D451EA"/>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yperlink">
    <w:name w:val="Hyperlink"/>
    <w:basedOn w:val="DefaultParagraphFont"/>
    <w:uiPriority w:val="99"/>
    <w:unhideWhenUsed w:val="1"/>
    <w:rsid w:val="0098290F"/>
    <w:rPr>
      <w:color w:val="0000ff" w:themeColor="hyperlink"/>
      <w:u w:val="single"/>
    </w:rPr>
  </w:style>
  <w:style w:type="character" w:styleId="UnresolvedMention">
    <w:name w:val="Unresolved Mention"/>
    <w:basedOn w:val="DefaultParagraphFont"/>
    <w:uiPriority w:val="99"/>
    <w:semiHidden w:val="1"/>
    <w:unhideWhenUsed w:val="1"/>
    <w:rsid w:val="0098290F"/>
    <w:rPr>
      <w:color w:val="605e5c"/>
      <w:shd w:color="auto" w:fill="e1dfdd" w:val="clear"/>
    </w:rPr>
  </w:style>
  <w:style w:type="paragraph" w:styleId="TOCHeading">
    <w:name w:val="TOC Heading"/>
    <w:basedOn w:val="Heading1"/>
    <w:next w:val="Normal"/>
    <w:uiPriority w:val="39"/>
    <w:unhideWhenUsed w:val="1"/>
    <w:qFormat w:val="1"/>
    <w:rsid w:val="00447A37"/>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447A37"/>
    <w:pPr>
      <w:spacing w:after="100"/>
      <w:ind w:left="220"/>
    </w:pPr>
  </w:style>
  <w:style w:type="paragraph" w:styleId="TOC1">
    <w:name w:val="toc 1"/>
    <w:basedOn w:val="Normal"/>
    <w:next w:val="Normal"/>
    <w:autoRedefine w:val="1"/>
    <w:uiPriority w:val="39"/>
    <w:unhideWhenUsed w:val="1"/>
    <w:rsid w:val="00447A37"/>
    <w:pPr>
      <w:spacing w:after="100"/>
    </w:pPr>
  </w:style>
  <w:style w:type="paragraph" w:styleId="TOC3">
    <w:name w:val="toc 3"/>
    <w:basedOn w:val="Normal"/>
    <w:next w:val="Normal"/>
    <w:autoRedefine w:val="1"/>
    <w:uiPriority w:val="39"/>
    <w:unhideWhenUsed w:val="1"/>
    <w:rsid w:val="00447A37"/>
    <w:pPr>
      <w:spacing w:after="100"/>
      <w:ind w:left="440"/>
    </w:p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615243"/>
    <w:pPr>
      <w:spacing w:line="240" w:lineRule="auto"/>
    </w:pPr>
    <w:rPr>
      <w:i w:val="0"/>
      <w:sz w:val="20"/>
    </w:rPr>
  </w:style>
  <w:style w:type="character" w:styleId="BookTitle">
    <w:name w:val="Book Title"/>
    <w:basedOn w:val="DefaultParagraphFont"/>
    <w:uiPriority w:val="33"/>
    <w:qFormat w:val="1"/>
    <w:rsid w:val="00615243"/>
    <w:rPr>
      <w:b w:val="1"/>
      <w:bCs w:val="1"/>
      <w:i w:val="0"/>
      <w:iCs w:val="1"/>
      <w:spacing w:val="5"/>
    </w:rPr>
  </w:style>
  <w:style w:type="paragraph" w:styleId="BoxHeading" w:customStyle="1">
    <w:name w:val="Box Heading"/>
    <w:basedOn w:val="Heading2"/>
    <w:qFormat w:val="1"/>
    <w:rsid w:val="00065C4A"/>
    <w:pPr>
      <w:spacing w:before="0" w:line="240" w:lineRule="auto"/>
    </w:pPr>
  </w:style>
  <w:style w:type="paragraph" w:styleId="TableText" w:customStyle="1">
    <w:name w:val="Table Text"/>
    <w:basedOn w:val="Normal"/>
    <w:qFormat w:val="1"/>
    <w:rsid w:val="00AE3680"/>
    <w:pPr>
      <w:spacing w:after="120" w:line="240" w:lineRule="auto"/>
    </w:pPr>
    <w:rPr>
      <w:sz w:val="16"/>
    </w:rPr>
  </w:style>
  <w:style w:type="paragraph" w:styleId="TableHeader" w:customStyle="1">
    <w:name w:val="Table Header"/>
    <w:basedOn w:val="Normal"/>
    <w:qFormat w:val="1"/>
    <w:rsid w:val="00CD5EDC"/>
    <w:pPr>
      <w:spacing w:after="120" w:before="120"/>
      <w:jc w:val="center"/>
    </w:pPr>
    <w:rPr>
      <w:rFonts w:cs="Arial" w:eastAsia="Arial"/>
      <w:b w:val="1"/>
      <w:sz w:val="18"/>
      <w:szCs w:val="28"/>
    </w:rPr>
  </w:style>
  <w:style w:type="paragraph" w:styleId="Header">
    <w:name w:val="header"/>
    <w:basedOn w:val="Normal"/>
    <w:link w:val="HeaderChar"/>
    <w:uiPriority w:val="99"/>
    <w:unhideWhenUsed w:val="1"/>
    <w:rsid w:val="00140C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0C83"/>
    <w:rPr>
      <w:i w:val="0"/>
      <w:sz w:val="20"/>
    </w:rPr>
  </w:style>
  <w:style w:type="paragraph" w:styleId="Footer">
    <w:name w:val="footer"/>
    <w:basedOn w:val="Normal"/>
    <w:link w:val="FooterChar"/>
    <w:uiPriority w:val="99"/>
    <w:unhideWhenUsed w:val="1"/>
    <w:rsid w:val="00140C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0C83"/>
    <w:rPr>
      <w:i w:val="0"/>
      <w:sz w:val="20"/>
    </w:rPr>
  </w:style>
  <w:style w:type="paragraph" w:styleId="Normal14" w:customStyle="1">
    <w:name w:val="Normal 14"/>
    <w:basedOn w:val="Normal"/>
    <w:qFormat w:val="1"/>
    <w:rsid w:val="004330E0"/>
    <w:rPr>
      <w:sz w:val="28"/>
    </w:rPr>
  </w:style>
  <w:style w:type="paragraph" w:styleId="Normal12" w:customStyle="1">
    <w:name w:val="Normal 12"/>
    <w:basedOn w:val="Normal"/>
    <w:qFormat w:val="1"/>
    <w:rsid w:val="004330E0"/>
    <w:rPr>
      <w:sz w:val="24"/>
    </w:r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70.0" w:type="dxa"/>
        <w:left w:w="170.0" w:type="dxa"/>
        <w:bottom w:w="170.0" w:type="dxa"/>
        <w:right w:w="1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footer" Target="footer2.xml"/><Relationship Id="rId13" Type="http://schemas.openxmlformats.org/officeDocument/2006/relationships/header" Target="header4.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fairprocessframework.org/steps/step-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fairprocessframework.org/steps/step-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fairprocessframework.org/steps/step-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fairprocessframework.org/steps/step-1/"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staging.fairprocessframework.org/wp-content/uploads/2024/11/Factsheet-1-FAIR-Process-Framework-20241105.doc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mUz6Xk4otqxvlpXKNeHtHCpqg==">CgMxLjA4AHIhMWxkT1lzQ0ZjWlpDVGd1Y1dxVWxMRFVyeDFoelVrbU5M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2024-10-31T04:43:00Z</dcterms:created>
  <dc:creator>Chipo Cosford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0x0101004650B7693C773F45A291E81F8957488D</vt:lpwstr>
  </property>
  <property fmtid="{D5CDD505-2E9C-101B-9397-08002B2CF9AE}" pid="3" name="MediaServiceImageTags">
    <vt:lpwstr>MediaServiceImageTags</vt:lpwstr>
  </property>
</Properties>
</file>